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F0AB5" w14:textId="77777777" w:rsidR="00B2497F" w:rsidRDefault="00B2497F" w:rsidP="00B2497F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Бюджетное профессиональное образовательное учреждение</w:t>
      </w:r>
    </w:p>
    <w:p w14:paraId="6F6A7201" w14:textId="77777777" w:rsidR="00B2497F" w:rsidRDefault="00B2497F" w:rsidP="00B2497F">
      <w:pPr>
        <w:jc w:val="center"/>
      </w:pPr>
      <w:r>
        <w:t>Воронежской области</w:t>
      </w:r>
    </w:p>
    <w:p w14:paraId="61A48FAA" w14:textId="77777777" w:rsidR="00B2497F" w:rsidRDefault="00B2497F" w:rsidP="00B2497F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«ВОРОНЕЖСКИЙ БАЗОВЫЙ МЕДИЦИНСКИЙ КОЛЛЕДЖ»</w:t>
      </w:r>
    </w:p>
    <w:p w14:paraId="01285DFB" w14:textId="77777777" w:rsidR="00B2497F" w:rsidRDefault="00B2497F" w:rsidP="00B2497F"/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F570C8" w14:paraId="4D612F1D" w14:textId="77777777" w:rsidTr="00F570C8">
        <w:trPr>
          <w:trHeight w:val="390"/>
        </w:trPr>
        <w:tc>
          <w:tcPr>
            <w:tcW w:w="5143" w:type="dxa"/>
            <w:vAlign w:val="center"/>
          </w:tcPr>
          <w:p w14:paraId="04AA04E8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ОДОБРЕНО </w:t>
            </w:r>
          </w:p>
          <w:p w14:paraId="098AFDE5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цикловой методической комиссией</w:t>
            </w:r>
          </w:p>
          <w:p w14:paraId="343AEF59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«Лечебное дело»</w:t>
            </w:r>
          </w:p>
          <w:p w14:paraId="53FD09E5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Председатель: _______Л. Е.</w:t>
            </w:r>
            <w:r>
              <w:rPr>
                <w:kern w:val="2"/>
                <w:lang w:eastAsia="en-US"/>
                <w14:ligatures w14:val="standardContextual"/>
              </w:rPr>
              <w:t xml:space="preserve"> </w:t>
            </w: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Трубникова </w:t>
            </w:r>
          </w:p>
          <w:p w14:paraId="2D717D12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907" w:type="dxa"/>
            <w:vAlign w:val="center"/>
            <w:hideMark/>
          </w:tcPr>
          <w:p w14:paraId="756F6421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УТВЕРЖДАЮ</w:t>
            </w:r>
          </w:p>
        </w:tc>
      </w:tr>
      <w:tr w:rsidR="00F570C8" w14:paraId="7A3EC670" w14:textId="77777777" w:rsidTr="00F570C8">
        <w:trPr>
          <w:trHeight w:val="359"/>
        </w:trPr>
        <w:tc>
          <w:tcPr>
            <w:tcW w:w="5143" w:type="dxa"/>
            <w:vAlign w:val="center"/>
          </w:tcPr>
          <w:p w14:paraId="24593F62" w14:textId="77777777" w:rsidR="00F570C8" w:rsidRDefault="00F570C8">
            <w:pPr>
              <w:spacing w:line="256" w:lineRule="auto"/>
              <w:jc w:val="center"/>
              <w:rPr>
                <w:i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3907" w:type="dxa"/>
            <w:vAlign w:val="center"/>
          </w:tcPr>
          <w:p w14:paraId="01DC448F" w14:textId="781B4CC0" w:rsidR="00F570C8" w:rsidRDefault="004219EA" w:rsidP="004219EA">
            <w:pPr>
              <w:spacing w:line="256" w:lineRule="auto"/>
              <w:rPr>
                <w:i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Зав. практикой</w:t>
            </w:r>
          </w:p>
        </w:tc>
      </w:tr>
      <w:tr w:rsidR="00F570C8" w14:paraId="50AE8C36" w14:textId="77777777" w:rsidTr="00F570C8">
        <w:trPr>
          <w:trHeight w:val="315"/>
        </w:trPr>
        <w:tc>
          <w:tcPr>
            <w:tcW w:w="5143" w:type="dxa"/>
            <w:vAlign w:val="center"/>
            <w:hideMark/>
          </w:tcPr>
          <w:p w14:paraId="554FA223" w14:textId="77777777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Протокол № 1</w:t>
            </w:r>
          </w:p>
        </w:tc>
        <w:tc>
          <w:tcPr>
            <w:tcW w:w="3907" w:type="dxa"/>
            <w:vAlign w:val="center"/>
            <w:hideMark/>
          </w:tcPr>
          <w:p w14:paraId="44D23E58" w14:textId="1495081C" w:rsidR="00F570C8" w:rsidRDefault="004219EA" w:rsidP="004219EA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______/Жихарева Н.И.</w:t>
            </w:r>
            <w:r w:rsidR="00F570C8">
              <w:rPr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</w:t>
            </w:r>
            <w:r w:rsidR="00F570C8"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/</w:t>
            </w:r>
          </w:p>
        </w:tc>
      </w:tr>
      <w:tr w:rsidR="00F570C8" w14:paraId="7B189021" w14:textId="77777777" w:rsidTr="00823C63">
        <w:trPr>
          <w:trHeight w:val="406"/>
        </w:trPr>
        <w:tc>
          <w:tcPr>
            <w:tcW w:w="5143" w:type="dxa"/>
            <w:vAlign w:val="center"/>
            <w:hideMark/>
          </w:tcPr>
          <w:p w14:paraId="384C6EA6" w14:textId="00BD81C6" w:rsidR="00F570C8" w:rsidRDefault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«31» августа 20 _____ г.</w:t>
            </w:r>
          </w:p>
        </w:tc>
        <w:tc>
          <w:tcPr>
            <w:tcW w:w="3907" w:type="dxa"/>
            <w:vAlign w:val="center"/>
            <w:hideMark/>
          </w:tcPr>
          <w:p w14:paraId="45EB9DFB" w14:textId="6C264A2D" w:rsidR="00F570C8" w:rsidRDefault="00F570C8" w:rsidP="00F570C8">
            <w:pPr>
              <w:spacing w:line="256" w:lineRule="auto"/>
              <w:rPr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«___» __________ 20 ____  г.</w:t>
            </w:r>
          </w:p>
        </w:tc>
      </w:tr>
    </w:tbl>
    <w:p w14:paraId="17073A96" w14:textId="77777777" w:rsidR="00F570C8" w:rsidRDefault="00F570C8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5F65476E" w14:textId="77777777" w:rsidR="00F570C8" w:rsidRDefault="00F570C8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75723DDB" w14:textId="77777777" w:rsidR="00F570C8" w:rsidRDefault="00F570C8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3851D26A" w14:textId="4B7227EB" w:rsidR="00B2497F" w:rsidRDefault="00B2497F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6"/>
          <w:szCs w:val="36"/>
        </w:rPr>
        <w:t>К</w:t>
      </w:r>
      <w:r>
        <w:rPr>
          <w:sz w:val="36"/>
          <w:szCs w:val="36"/>
        </w:rPr>
        <w:t>онтрольно</w:t>
      </w:r>
      <w:r>
        <w:rPr>
          <w:caps/>
          <w:sz w:val="36"/>
          <w:szCs w:val="36"/>
        </w:rPr>
        <w:t>-</w:t>
      </w:r>
      <w:r>
        <w:rPr>
          <w:sz w:val="36"/>
          <w:szCs w:val="36"/>
        </w:rPr>
        <w:t>оценочные материалы</w:t>
      </w:r>
    </w:p>
    <w:p w14:paraId="36020393" w14:textId="7BF6149F" w:rsidR="00B2497F" w:rsidRDefault="00B2497F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sz w:val="32"/>
          <w:szCs w:val="32"/>
        </w:rPr>
        <w:t xml:space="preserve">вопросы </w:t>
      </w:r>
      <w:r>
        <w:rPr>
          <w:b/>
          <w:sz w:val="32"/>
          <w:szCs w:val="32"/>
        </w:rPr>
        <w:t>к учебной практике</w:t>
      </w:r>
    </w:p>
    <w:p w14:paraId="064FFACB" w14:textId="77777777" w:rsidR="00B2497F" w:rsidRDefault="00B2497F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4554EFCC" w14:textId="77777777" w:rsidR="00B2497F" w:rsidRDefault="00B2497F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  <w:proofErr w:type="gramStart"/>
      <w:r>
        <w:rPr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:</w:t>
      </w:r>
      <w:proofErr w:type="gramEnd"/>
      <w:r>
        <w:rPr>
          <w:caps/>
          <w:sz w:val="36"/>
          <w:szCs w:val="36"/>
        </w:rPr>
        <w:t xml:space="preserve"> «</w:t>
      </w:r>
      <w:r>
        <w:rPr>
          <w:caps/>
          <w:sz w:val="32"/>
          <w:szCs w:val="32"/>
        </w:rPr>
        <w:t>Лечебное дело</w:t>
      </w:r>
      <w:r>
        <w:rPr>
          <w:sz w:val="36"/>
          <w:szCs w:val="36"/>
        </w:rPr>
        <w:t>»</w:t>
      </w:r>
      <w:r>
        <w:rPr>
          <w:caps/>
          <w:sz w:val="36"/>
          <w:szCs w:val="36"/>
        </w:rPr>
        <w:t>.</w:t>
      </w:r>
    </w:p>
    <w:p w14:paraId="66804BD6" w14:textId="77777777" w:rsidR="00B2497F" w:rsidRDefault="00B2497F" w:rsidP="00B24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62EA2BB4" w14:textId="77777777" w:rsidR="00B2497F" w:rsidRDefault="00B2497F" w:rsidP="00B24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28"/>
        </w:rPr>
      </w:pPr>
      <w:r>
        <w:rPr>
          <w:rFonts w:ascii="Times New Roman CYR" w:hAnsi="Times New Roman CYR" w:cs="Times New Roman CYR"/>
          <w:bCs/>
          <w:sz w:val="40"/>
          <w:szCs w:val="40"/>
        </w:rPr>
        <w:t xml:space="preserve"> </w:t>
      </w:r>
      <w:r>
        <w:rPr>
          <w:sz w:val="32"/>
          <w:szCs w:val="32"/>
        </w:rPr>
        <w:t xml:space="preserve">ПМ 04. </w:t>
      </w:r>
      <w:r>
        <w:rPr>
          <w:b/>
          <w:sz w:val="36"/>
          <w:szCs w:val="36"/>
        </w:rPr>
        <w:t>«</w:t>
      </w:r>
      <w:r>
        <w:rPr>
          <w:b/>
          <w:bCs/>
          <w:color w:val="000000"/>
          <w:sz w:val="36"/>
          <w:szCs w:val="36"/>
        </w:rPr>
        <w:t>Осуществление профилактической деятельности</w:t>
      </w:r>
      <w:r>
        <w:rPr>
          <w:b/>
          <w:sz w:val="36"/>
          <w:szCs w:val="36"/>
        </w:rPr>
        <w:t>»</w:t>
      </w:r>
    </w:p>
    <w:p w14:paraId="4C9B85DC" w14:textId="77777777" w:rsidR="00B2497F" w:rsidRDefault="00B2497F" w:rsidP="00B24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56B313A" w14:textId="77777777" w:rsidR="00B2497F" w:rsidRDefault="00B2497F" w:rsidP="00B2497F">
      <w:pPr>
        <w:pStyle w:val="3"/>
        <w:widowControl w:val="0"/>
        <w:ind w:firstLine="426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МДК 04.01 </w:t>
      </w:r>
      <w:r>
        <w:rPr>
          <w:b/>
          <w:bCs/>
          <w:color w:val="000000"/>
          <w:sz w:val="32"/>
          <w:szCs w:val="32"/>
        </w:rPr>
        <w:t>Проведение мероприятий по профилактике заболеваний, укреплению здоровья и пропаганде здорового образа жизни</w:t>
      </w:r>
    </w:p>
    <w:p w14:paraId="7C4C2B8C" w14:textId="77777777" w:rsidR="00B2497F" w:rsidRDefault="00B2497F" w:rsidP="00B2497F">
      <w:pPr>
        <w:jc w:val="center"/>
        <w:rPr>
          <w:sz w:val="32"/>
          <w:szCs w:val="32"/>
        </w:rPr>
      </w:pPr>
    </w:p>
    <w:p w14:paraId="112FA3E1" w14:textId="77777777" w:rsidR="00B2497F" w:rsidRDefault="00B2497F" w:rsidP="00B2497F">
      <w:pPr>
        <w:spacing w:after="200"/>
        <w:rPr>
          <w:sz w:val="36"/>
          <w:szCs w:val="36"/>
        </w:rPr>
      </w:pPr>
    </w:p>
    <w:p w14:paraId="6BAEB8B1" w14:textId="3464DAE9" w:rsidR="00B2497F" w:rsidRDefault="00B2497F" w:rsidP="00B2497F">
      <w:pPr>
        <w:jc w:val="center"/>
        <w:rPr>
          <w:sz w:val="32"/>
          <w:szCs w:val="32"/>
        </w:rPr>
      </w:pPr>
    </w:p>
    <w:p w14:paraId="1C2EF417" w14:textId="77777777" w:rsidR="004219EA" w:rsidRDefault="004219EA" w:rsidP="00B2497F">
      <w:pPr>
        <w:jc w:val="center"/>
        <w:rPr>
          <w:sz w:val="32"/>
          <w:szCs w:val="32"/>
        </w:rPr>
      </w:pPr>
      <w:bookmarkStart w:id="0" w:name="_GoBack"/>
      <w:bookmarkEnd w:id="0"/>
    </w:p>
    <w:p w14:paraId="24419C69" w14:textId="58BD4CEA" w:rsidR="00B2497F" w:rsidRDefault="00B2497F" w:rsidP="00B2497F">
      <w:pPr>
        <w:jc w:val="center"/>
      </w:pPr>
    </w:p>
    <w:p w14:paraId="041A1B40" w14:textId="77777777" w:rsidR="00B2497F" w:rsidRDefault="00B2497F" w:rsidP="00B2497F"/>
    <w:p w14:paraId="78941514" w14:textId="77777777" w:rsidR="00B2497F" w:rsidRDefault="00B2497F" w:rsidP="00B2497F"/>
    <w:p w14:paraId="63F98E42" w14:textId="77777777" w:rsidR="00B2497F" w:rsidRDefault="00B2497F" w:rsidP="00B2497F"/>
    <w:p w14:paraId="77D36CB0" w14:textId="77777777" w:rsidR="00B2497F" w:rsidRDefault="00B2497F" w:rsidP="00B2497F"/>
    <w:p w14:paraId="04FD9FAA" w14:textId="77777777" w:rsidR="00B2497F" w:rsidRDefault="00B2497F" w:rsidP="00B2497F"/>
    <w:p w14:paraId="10E2FCD3" w14:textId="77777777" w:rsidR="00B2497F" w:rsidRDefault="00B2497F" w:rsidP="00B2497F"/>
    <w:p w14:paraId="6F09E9BD" w14:textId="6D64BC3D" w:rsidR="00B2497F" w:rsidRDefault="00F570C8" w:rsidP="00B2497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Воронеж  20</w:t>
      </w:r>
      <w:proofErr w:type="gramEnd"/>
      <w:r>
        <w:rPr>
          <w:sz w:val="28"/>
          <w:szCs w:val="28"/>
        </w:rPr>
        <w:t xml:space="preserve"> _____</w:t>
      </w:r>
      <w:r w:rsidR="00B2497F">
        <w:rPr>
          <w:sz w:val="28"/>
          <w:szCs w:val="28"/>
        </w:rPr>
        <w:t>г.</w:t>
      </w:r>
    </w:p>
    <w:p w14:paraId="6A58F59D" w14:textId="77777777" w:rsidR="00B2497F" w:rsidRDefault="00B2497F" w:rsidP="00B2497F">
      <w:pPr>
        <w:jc w:val="center"/>
      </w:pPr>
    </w:p>
    <w:p w14:paraId="1E0ABEBA" w14:textId="77777777" w:rsidR="00B2497F" w:rsidRDefault="00B2497F" w:rsidP="00B2497F">
      <w:pPr>
        <w:jc w:val="center"/>
      </w:pPr>
      <w:r>
        <w:lastRenderedPageBreak/>
        <w:t>Контрольно-оценочные материалы</w:t>
      </w:r>
    </w:p>
    <w:p w14:paraId="1D43A842" w14:textId="77777777" w:rsidR="00B2497F" w:rsidRDefault="00B2497F" w:rsidP="00B2497F"/>
    <w:p w14:paraId="3727209B" w14:textId="193310E0" w:rsidR="006A4467" w:rsidRDefault="006A4467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Какими способами происходит </w:t>
      </w:r>
      <w:r>
        <w:t>информировани</w:t>
      </w:r>
      <w:r>
        <w:rPr>
          <w:lang w:val="ru-RU"/>
        </w:rPr>
        <w:t>е</w:t>
      </w:r>
      <w:r>
        <w:t xml:space="preserve"> населения о </w:t>
      </w:r>
      <w:r>
        <w:rPr>
          <w:lang w:val="ru-RU"/>
        </w:rPr>
        <w:t xml:space="preserve">ЗОЖ и </w:t>
      </w:r>
      <w:r>
        <w:t>программах и способах отказа от вредных привычек;</w:t>
      </w:r>
    </w:p>
    <w:p w14:paraId="61221720" w14:textId="1E997F9E" w:rsidR="006A4467" w:rsidRDefault="006A4467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t>Какими способами происходит информировани</w:t>
      </w:r>
      <w:r>
        <w:rPr>
          <w:lang w:val="ru-RU"/>
        </w:rPr>
        <w:t>е</w:t>
      </w:r>
      <w:r>
        <w:t xml:space="preserve"> населения о проведении</w:t>
      </w:r>
      <w:r>
        <w:rPr>
          <w:color w:val="FF0000"/>
        </w:rPr>
        <w:t xml:space="preserve"> </w:t>
      </w:r>
      <w:r>
        <w:t>профилактического медицинского осмотра и диспансеризации, о ее целях и задачах, проведение разъяснительной работы и мотивирование граждан к прохождению диспансеризации</w:t>
      </w:r>
      <w:r w:rsidR="006607F2">
        <w:rPr>
          <w:lang w:val="ru-RU"/>
        </w:rPr>
        <w:t>;</w:t>
      </w:r>
    </w:p>
    <w:p w14:paraId="73DE0003" w14:textId="62ECAEF9" w:rsidR="006A4467" w:rsidRDefault="006A4467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Какова роль фельдшера </w:t>
      </w:r>
      <w:r>
        <w:t>в выполнении медицинских исследований первого этапа диспансеризации (опрос</w:t>
      </w:r>
      <w:r w:rsidR="006607F2">
        <w:rPr>
          <w:lang w:val="ru-RU"/>
        </w:rPr>
        <w:t xml:space="preserve">, </w:t>
      </w:r>
      <w:r>
        <w:t xml:space="preserve">анкетирование), направленное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врача, антропометрия, расчет индекса массы тела, определение уровня общего холестерина в крови и уровня глюкозы в крови экспресс-методом, измерение внутриглазного давления бесконтактным методом, осмотр, включая взятие мазка (соскоба) с поверхности шейки матки (наружного маточного зева) и цервикального канала на цитологическое исследование), организация других, проводимых в рамках профилактического медицинского осмотра и диспансеризации определенных групп взрослого населения; </w:t>
      </w:r>
    </w:p>
    <w:p w14:paraId="26B367AE" w14:textId="31E8F686" w:rsidR="006A4467" w:rsidRDefault="006A4467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 w:rsidR="006607F2">
        <w:t>определ</w:t>
      </w:r>
      <w:r w:rsidR="006607F2">
        <w:rPr>
          <w:lang w:val="ru-RU"/>
        </w:rPr>
        <w:t xml:space="preserve">яются </w:t>
      </w:r>
      <w:r w:rsidR="006607F2">
        <w:t>группы</w:t>
      </w:r>
      <w:r>
        <w:t xml:space="preserve"> здоровья взрослого населения и </w:t>
      </w:r>
      <w:r w:rsidR="006607F2">
        <w:t>несовершеннолетних по</w:t>
      </w:r>
      <w:r>
        <w:t xml:space="preserve"> результатам диспансеризации и профилактических осмотров, медицинск</w:t>
      </w:r>
      <w:r>
        <w:rPr>
          <w:lang w:val="ru-RU"/>
        </w:rPr>
        <w:t>ие</w:t>
      </w:r>
      <w:r>
        <w:t xml:space="preserve"> группы для занятий физической культурой несовершеннолетних;</w:t>
      </w:r>
    </w:p>
    <w:p w14:paraId="4B9D49F7" w14:textId="180B1189" w:rsidR="006A4467" w:rsidRDefault="006A4467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>С</w:t>
      </w:r>
      <w:r>
        <w:t>остав</w:t>
      </w:r>
      <w:r>
        <w:rPr>
          <w:lang w:val="ru-RU"/>
        </w:rPr>
        <w:t>ьте</w:t>
      </w:r>
      <w:r>
        <w:t xml:space="preserve"> план индивидуального профилактического консультирования по коррекции поведенческих факторов риска развития хронических неинфекционных заболеваний (ХНИЗ);</w:t>
      </w:r>
    </w:p>
    <w:p w14:paraId="1A754552" w14:textId="34E607D5" w:rsidR="006A4467" w:rsidRDefault="006A4467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>
        <w:t>заполн</w:t>
      </w:r>
      <w:r>
        <w:rPr>
          <w:lang w:val="ru-RU"/>
        </w:rPr>
        <w:t>яются</w:t>
      </w:r>
      <w:r>
        <w:t xml:space="preserve"> карты учета </w:t>
      </w:r>
      <w:r w:rsidR="006607F2">
        <w:t>диспансеризации, формы</w:t>
      </w:r>
      <w:r>
        <w:t xml:space="preserve"> статистической отчетности, используемых при проведении профилактического медицинского осмотра и диспансеризации;</w:t>
      </w:r>
    </w:p>
    <w:p w14:paraId="1FF10DE4" w14:textId="11402877" w:rsidR="006A4467" w:rsidRDefault="00E3111B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 w:rsidR="006A4467">
        <w:t>определ</w:t>
      </w:r>
      <w:r>
        <w:rPr>
          <w:lang w:val="ru-RU"/>
        </w:rPr>
        <w:t>яется</w:t>
      </w:r>
      <w:r w:rsidR="006A4467">
        <w:t xml:space="preserve"> относительн</w:t>
      </w:r>
      <w:r>
        <w:rPr>
          <w:lang w:val="ru-RU"/>
        </w:rPr>
        <w:t xml:space="preserve">ый </w:t>
      </w:r>
      <w:r w:rsidR="006A4467">
        <w:t>и абсолютн</w:t>
      </w:r>
      <w:r>
        <w:rPr>
          <w:lang w:val="ru-RU"/>
        </w:rPr>
        <w:t>ый</w:t>
      </w:r>
      <w:r w:rsidR="006A4467">
        <w:t xml:space="preserve"> сердечно-сосудист</w:t>
      </w:r>
      <w:r>
        <w:rPr>
          <w:lang w:val="ru-RU"/>
        </w:rPr>
        <w:t>ый</w:t>
      </w:r>
      <w:r w:rsidR="006A4467">
        <w:t xml:space="preserve"> риск по шкале – таблице </w:t>
      </w:r>
      <w:r w:rsidR="006A4467">
        <w:rPr>
          <w:lang w:val="en-US"/>
        </w:rPr>
        <w:t>SCORE</w:t>
      </w:r>
      <w:r w:rsidR="006A4467">
        <w:t xml:space="preserve"> у граждан, прошедших профилактический медицинский осмотр или диспансеризацию;</w:t>
      </w:r>
    </w:p>
    <w:p w14:paraId="7DAEB905" w14:textId="77C73F5B" w:rsidR="006A4467" w:rsidRDefault="00E3111B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Каково </w:t>
      </w:r>
      <w:r w:rsidR="006A4467">
        <w:t xml:space="preserve">участие </w:t>
      </w:r>
      <w:r>
        <w:rPr>
          <w:lang w:val="ru-RU"/>
        </w:rPr>
        <w:t xml:space="preserve">фельдшера </w:t>
      </w:r>
      <w:r w:rsidR="006A4467">
        <w:t>в формировании групп диспансерного наблюдения</w:t>
      </w:r>
      <w:r w:rsidR="006607F2">
        <w:rPr>
          <w:lang w:val="ru-RU"/>
        </w:rPr>
        <w:t>;</w:t>
      </w:r>
    </w:p>
    <w:p w14:paraId="32FCE2D0" w14:textId="170FEA44" w:rsidR="006A4467" w:rsidRDefault="00E3111B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Каково </w:t>
      </w:r>
      <w:r w:rsidR="006A4467">
        <w:t xml:space="preserve">участие </w:t>
      </w:r>
      <w:r>
        <w:rPr>
          <w:lang w:val="ru-RU"/>
        </w:rPr>
        <w:t xml:space="preserve">фельдшера </w:t>
      </w:r>
      <w:r w:rsidR="006A4467">
        <w:t>в составлении плана диспансерного наблюдения за пациентом при заболеваниях (состояниях), при наличии которых устанавливается группа диспансерного наблюдения, в том числе при инфекционных заболеваниях;</w:t>
      </w:r>
    </w:p>
    <w:p w14:paraId="2A9611EB" w14:textId="0813B548" w:rsidR="006A4467" w:rsidRDefault="00E3111B" w:rsidP="006A4467">
      <w:pPr>
        <w:pStyle w:val="a4"/>
        <w:numPr>
          <w:ilvl w:val="0"/>
          <w:numId w:val="1"/>
        </w:numPr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 w:rsidR="006A4467">
        <w:t>оформл</w:t>
      </w:r>
      <w:r>
        <w:rPr>
          <w:lang w:val="ru-RU"/>
        </w:rPr>
        <w:t>яется</w:t>
      </w:r>
      <w:r w:rsidR="006A4467">
        <w:t xml:space="preserve"> медицинск</w:t>
      </w:r>
      <w:r>
        <w:rPr>
          <w:lang w:val="ru-RU"/>
        </w:rPr>
        <w:t>ая</w:t>
      </w:r>
      <w:r w:rsidR="006A4467">
        <w:t xml:space="preserve"> документации </w:t>
      </w:r>
      <w:r w:rsidR="006A4467" w:rsidRPr="006607F2">
        <w:t>(</w:t>
      </w:r>
      <w:hyperlink r:id="rId5" w:anchor="/document/12137975/entry/4000" w:history="1">
        <w:r w:rsidR="006A4467" w:rsidRPr="006607F2">
          <w:rPr>
            <w:rStyle w:val="a5"/>
            <w:rFonts w:ascii="Times New Roman" w:hAnsi="Times New Roman" w:cs="Times New Roman"/>
            <w:color w:val="auto"/>
            <w:lang w:val="ru-RU"/>
          </w:rPr>
          <w:t xml:space="preserve">форма </w:t>
        </w:r>
        <w:r w:rsidR="006A4467" w:rsidRPr="006607F2">
          <w:rPr>
            <w:rStyle w:val="a5"/>
            <w:rFonts w:ascii="Times New Roman" w:hAnsi="Times New Roman" w:cs="Times New Roman"/>
            <w:color w:val="auto"/>
          </w:rPr>
          <w:t>N </w:t>
        </w:r>
        <w:r w:rsidR="006A4467" w:rsidRPr="006607F2">
          <w:rPr>
            <w:rStyle w:val="a5"/>
            <w:rFonts w:ascii="Times New Roman" w:hAnsi="Times New Roman" w:cs="Times New Roman"/>
            <w:color w:val="auto"/>
            <w:lang w:val="ru-RU"/>
          </w:rPr>
          <w:t>030/у-04</w:t>
        </w:r>
      </w:hyperlink>
      <w:r w:rsidR="006A4467">
        <w:t xml:space="preserve"> «Контрольная карта диспансерного наблюдения», направлени</w:t>
      </w:r>
      <w:r>
        <w:rPr>
          <w:lang w:val="ru-RU"/>
        </w:rPr>
        <w:t>е</w:t>
      </w:r>
      <w:r w:rsidR="006A4467">
        <w:t xml:space="preserve"> на дополнительное обследование)</w:t>
      </w:r>
      <w:r w:rsidR="000E2A04">
        <w:rPr>
          <w:lang w:val="ru-RU"/>
        </w:rPr>
        <w:t>;</w:t>
      </w:r>
    </w:p>
    <w:p w14:paraId="5A3A1B5E" w14:textId="4E5BB25E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Каково </w:t>
      </w:r>
      <w:r w:rsidR="006A4467">
        <w:t>участие</w:t>
      </w:r>
      <w:r>
        <w:rPr>
          <w:lang w:val="ru-RU"/>
        </w:rPr>
        <w:t xml:space="preserve"> фельдшера</w:t>
      </w:r>
      <w:r w:rsidR="006A4467">
        <w:t xml:space="preserve"> в составлении графиков профилактических осмотров несовершеннолетних;</w:t>
      </w:r>
    </w:p>
    <w:p w14:paraId="0238CB6E" w14:textId="771E48A2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 w:rsidR="006A4467">
        <w:t>оформл</w:t>
      </w:r>
      <w:r>
        <w:rPr>
          <w:lang w:val="ru-RU"/>
        </w:rPr>
        <w:t>яется</w:t>
      </w:r>
      <w:r w:rsidR="006A4467">
        <w:t xml:space="preserve"> медицинск</w:t>
      </w:r>
      <w:r>
        <w:rPr>
          <w:lang w:val="ru-RU"/>
        </w:rPr>
        <w:t>ая</w:t>
      </w:r>
      <w:r w:rsidR="006A4467">
        <w:t xml:space="preserve"> документации форма N 030-ПО/о-17 «Сведения о профилактических медицинских осмотрах несовершеннолетних», форма N 030/у-04 "Контрольная карта диспансерного наблюдения")</w:t>
      </w:r>
      <w:r w:rsidR="000E2A04">
        <w:rPr>
          <w:lang w:val="ru-RU"/>
        </w:rPr>
        <w:t>;</w:t>
      </w:r>
    </w:p>
    <w:p w14:paraId="57E0EC1D" w14:textId="17678C83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 w:rsidR="006A4467">
        <w:t>составл</w:t>
      </w:r>
      <w:r>
        <w:rPr>
          <w:lang w:val="ru-RU"/>
        </w:rPr>
        <w:t>яется</w:t>
      </w:r>
      <w:r w:rsidR="006A4467">
        <w:t xml:space="preserve"> план занятия в школе здоровья по вопросам профилактики заболеваний (сахарный диабет, ИБС, гипертоническая болезнь, ожирение)</w:t>
      </w:r>
      <w:r w:rsidR="000E2A04">
        <w:rPr>
          <w:lang w:val="ru-RU"/>
        </w:rPr>
        <w:t>;</w:t>
      </w:r>
    </w:p>
    <w:p w14:paraId="6ACEF45E" w14:textId="31FFCACC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Каков </w:t>
      </w:r>
      <w:r w:rsidR="006A4467">
        <w:t>график профилактических прививок различным группам населения;</w:t>
      </w:r>
    </w:p>
    <w:p w14:paraId="2B5E25E0" w14:textId="7A8647C4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 </w:t>
      </w:r>
      <w:r w:rsidR="006A4467">
        <w:t>оформл</w:t>
      </w:r>
      <w:r>
        <w:rPr>
          <w:lang w:val="ru-RU"/>
        </w:rPr>
        <w:t>яется</w:t>
      </w:r>
      <w:r w:rsidR="006A4467">
        <w:t xml:space="preserve"> медицинск</w:t>
      </w:r>
      <w:r>
        <w:rPr>
          <w:lang w:val="ru-RU"/>
        </w:rPr>
        <w:t>ая</w:t>
      </w:r>
      <w:r w:rsidR="006A4467">
        <w:t xml:space="preserve"> документаци</w:t>
      </w:r>
      <w:r>
        <w:rPr>
          <w:lang w:val="ru-RU"/>
        </w:rPr>
        <w:t>я</w:t>
      </w:r>
      <w:r w:rsidR="006A4467">
        <w:t xml:space="preserve"> (журналы учета профилактических прививок, № 058/у "Экстренное извещение об инфекционном, паразитарном и другом заболевании, профессиональном отравлении, неблагоприятной реакции, связанной с иммунизацией, воздействии живых механических сил")</w:t>
      </w:r>
      <w:r w:rsidR="000E2A04">
        <w:rPr>
          <w:lang w:val="ru-RU"/>
        </w:rPr>
        <w:t>;</w:t>
      </w:r>
    </w:p>
    <w:p w14:paraId="55DFD000" w14:textId="4D46270A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t xml:space="preserve">Каково </w:t>
      </w:r>
      <w:r w:rsidR="006A4467">
        <w:t xml:space="preserve">участие </w:t>
      </w:r>
      <w:r>
        <w:rPr>
          <w:lang w:val="ru-RU"/>
        </w:rPr>
        <w:t xml:space="preserve">фельдшера </w:t>
      </w:r>
      <w:r w:rsidR="006A4467">
        <w:t>в выполнении</w:t>
      </w:r>
      <w:r w:rsidR="006607F2">
        <w:rPr>
          <w:lang w:val="ru-RU"/>
        </w:rPr>
        <w:t xml:space="preserve"> </w:t>
      </w:r>
      <w:proofErr w:type="spellStart"/>
      <w:r w:rsidR="006A4467">
        <w:t>предсменных</w:t>
      </w:r>
      <w:proofErr w:type="spellEnd"/>
      <w:r w:rsidR="006A4467">
        <w:t xml:space="preserve">, </w:t>
      </w:r>
      <w:proofErr w:type="spellStart"/>
      <w:r w:rsidR="006A4467">
        <w:t>предрейсовых</w:t>
      </w:r>
      <w:proofErr w:type="spellEnd"/>
      <w:r w:rsidR="006A4467">
        <w:t xml:space="preserve">, </w:t>
      </w:r>
      <w:proofErr w:type="spellStart"/>
      <w:r w:rsidR="006A4467">
        <w:t>послесменных</w:t>
      </w:r>
      <w:proofErr w:type="spellEnd"/>
      <w:r w:rsidR="006A4467">
        <w:t xml:space="preserve">, </w:t>
      </w:r>
      <w:proofErr w:type="spellStart"/>
      <w:r w:rsidR="006A4467">
        <w:t>послерейсовых</w:t>
      </w:r>
      <w:proofErr w:type="spellEnd"/>
      <w:r w:rsidR="006A4467">
        <w:t xml:space="preserve"> медицинских осмотрах;</w:t>
      </w:r>
    </w:p>
    <w:p w14:paraId="063B70BC" w14:textId="4D2A322D" w:rsidR="006A4467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</w:pPr>
      <w:r>
        <w:rPr>
          <w:lang w:val="ru-RU"/>
        </w:rPr>
        <w:lastRenderedPageBreak/>
        <w:t xml:space="preserve">Каково </w:t>
      </w:r>
      <w:r w:rsidR="006A4467">
        <w:t>участие</w:t>
      </w:r>
      <w:r>
        <w:rPr>
          <w:lang w:val="ru-RU"/>
        </w:rPr>
        <w:t xml:space="preserve"> фельдшера</w:t>
      </w:r>
      <w:r w:rsidR="006A4467">
        <w:t xml:space="preserve"> в проведении санитарно- противоэпидемических (профилактических) и ограничительных (карантинных) мероприятий при выявлении инфекционных заболеваний;</w:t>
      </w:r>
    </w:p>
    <w:p w14:paraId="64FA51E9" w14:textId="05AD2A16" w:rsidR="00093FE4" w:rsidRPr="00E3111B" w:rsidRDefault="00E3111B" w:rsidP="006A4467">
      <w:pPr>
        <w:pStyle w:val="a4"/>
        <w:numPr>
          <w:ilvl w:val="0"/>
          <w:numId w:val="1"/>
        </w:numPr>
        <w:shd w:val="clear" w:color="auto" w:fill="FFFFFF"/>
        <w:spacing w:before="0" w:after="0"/>
        <w:ind w:left="0" w:firstLine="0"/>
        <w:contextualSpacing/>
        <w:jc w:val="both"/>
        <w:rPr>
          <w:b/>
          <w:bCs/>
          <w:lang w:eastAsia="en-US"/>
        </w:rPr>
      </w:pPr>
      <w:r>
        <w:rPr>
          <w:lang w:val="ru-RU"/>
        </w:rPr>
        <w:t xml:space="preserve">Каково </w:t>
      </w:r>
      <w:r w:rsidR="006A4467">
        <w:t xml:space="preserve">участие </w:t>
      </w:r>
      <w:r>
        <w:rPr>
          <w:lang w:val="ru-RU"/>
        </w:rPr>
        <w:t xml:space="preserve">фельдшера </w:t>
      </w:r>
      <w:r w:rsidR="006A4467">
        <w:t xml:space="preserve">в проведении санитарно-гигиенических </w:t>
      </w:r>
      <w:proofErr w:type="gramStart"/>
      <w:r w:rsidR="006A4467">
        <w:t>и  противоэпидемических</w:t>
      </w:r>
      <w:proofErr w:type="gramEnd"/>
      <w:r w:rsidR="006A4467">
        <w:t xml:space="preserve"> мероприятий для обеспечения безопасности пациентов и медицинских работников, предотвращения распространения инфекций, в том числе, связанных с оказанием медицинской помощи</w:t>
      </w:r>
      <w:r>
        <w:rPr>
          <w:lang w:val="ru-RU"/>
        </w:rPr>
        <w:t>.</w:t>
      </w:r>
    </w:p>
    <w:sectPr w:rsidR="00093FE4" w:rsidRPr="00E31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027B1"/>
    <w:multiLevelType w:val="hybridMultilevel"/>
    <w:tmpl w:val="38EE8AF6"/>
    <w:lvl w:ilvl="0" w:tplc="72BE5F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97F"/>
    <w:rsid w:val="00093FE4"/>
    <w:rsid w:val="000E2A04"/>
    <w:rsid w:val="002056F0"/>
    <w:rsid w:val="004219EA"/>
    <w:rsid w:val="006607F2"/>
    <w:rsid w:val="006A4467"/>
    <w:rsid w:val="00B2497F"/>
    <w:rsid w:val="00D44238"/>
    <w:rsid w:val="00E3111B"/>
    <w:rsid w:val="00F5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F838E"/>
  <w15:chartTrackingRefBased/>
  <w15:docId w15:val="{EE9EA520-A693-45C0-B18E-4890FDE2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9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B249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497F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  <w14:ligatures w14:val="none"/>
    </w:rPr>
  </w:style>
  <w:style w:type="paragraph" w:styleId="3">
    <w:name w:val="Body Text 3"/>
    <w:basedOn w:val="a"/>
    <w:link w:val="30"/>
    <w:uiPriority w:val="99"/>
    <w:semiHidden/>
    <w:unhideWhenUsed/>
    <w:rsid w:val="00B2497F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2497F"/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character" w:customStyle="1" w:styleId="a3">
    <w:name w:val="Абзац списка Знак"/>
    <w:aliases w:val="Содержание. 2 уровень Знак,ПАРАГРАФ Знак,List Paragraph Знак"/>
    <w:link w:val="a4"/>
    <w:uiPriority w:val="34"/>
    <w:qFormat/>
    <w:locked/>
    <w:rsid w:val="006A4467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4">
    <w:name w:val="List Paragraph"/>
    <w:aliases w:val="Содержание. 2 уровень,ПАРАГРАФ,List Paragraph"/>
    <w:basedOn w:val="a"/>
    <w:link w:val="a3"/>
    <w:uiPriority w:val="34"/>
    <w:qFormat/>
    <w:rsid w:val="006A4467"/>
    <w:pPr>
      <w:spacing w:before="120" w:after="120"/>
      <w:ind w:left="708"/>
    </w:pPr>
    <w:rPr>
      <w:rFonts w:eastAsiaTheme="minorHAnsi"/>
      <w:kern w:val="2"/>
      <w:lang w:val="x-none" w:eastAsia="x-none"/>
      <w14:ligatures w14:val="standardContextual"/>
    </w:rPr>
  </w:style>
  <w:style w:type="character" w:styleId="a5">
    <w:name w:val="Hyperlink"/>
    <w:uiPriority w:val="99"/>
    <w:semiHidden/>
    <w:unhideWhenUsed/>
    <w:rsid w:val="006A4467"/>
    <w:rPr>
      <w:rFonts w:ascii="Verdana" w:hAnsi="Verdana" w:cs="Verdana" w:hint="default"/>
      <w:strike w:val="0"/>
      <w:dstrike w:val="0"/>
      <w:color w:val="0046B9"/>
      <w:sz w:val="24"/>
      <w:u w:val="none"/>
      <w:effect w:val="non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</dc:creator>
  <cp:keywords/>
  <dc:description/>
  <cp:lastModifiedBy>User</cp:lastModifiedBy>
  <cp:revision>6</cp:revision>
  <dcterms:created xsi:type="dcterms:W3CDTF">2023-08-07T07:04:00Z</dcterms:created>
  <dcterms:modified xsi:type="dcterms:W3CDTF">2025-01-24T11:30:00Z</dcterms:modified>
</cp:coreProperties>
</file>