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309" w:rsidRPr="006426F6" w:rsidRDefault="00165309" w:rsidP="0016530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Лекция № 20</w:t>
      </w:r>
    </w:p>
    <w:p w:rsidR="00165309" w:rsidRPr="006426F6" w:rsidRDefault="00165309" w:rsidP="00165309">
      <w:pPr>
        <w:spacing w:after="24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6426F6">
        <w:rPr>
          <w:rFonts w:ascii="Times New Roman" w:hAnsi="Times New Roman" w:cs="Times New Roman"/>
          <w:sz w:val="28"/>
          <w:szCs w:val="28"/>
        </w:rPr>
        <w:t xml:space="preserve"> </w:t>
      </w:r>
      <w:r w:rsidRPr="006426F6">
        <w:rPr>
          <w:rFonts w:ascii="Times New Roman" w:hAnsi="Times New Roman" w:cs="Times New Roman"/>
          <w:b/>
          <w:sz w:val="28"/>
          <w:szCs w:val="28"/>
        </w:rPr>
        <w:t>«Оказание медицинской пом</w:t>
      </w:r>
      <w:r>
        <w:rPr>
          <w:rFonts w:ascii="Times New Roman" w:hAnsi="Times New Roman" w:cs="Times New Roman"/>
          <w:b/>
          <w:sz w:val="28"/>
          <w:szCs w:val="28"/>
        </w:rPr>
        <w:t>ощи пациентам со столбняком»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A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Столбняк (тетанус)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острое инфекционное заболевание, обусловленное воздействием на организм экзотоксина столбнячной палочки с преимущественным поражением нервной системы, характеризующееся тоническими и судорожными сокращениями поперечно-полосатых мышц.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Этиология: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Clostridium tetani – во внешней среде существует в виде чрезвычайно устойчивых спор, которые при благоприят-ных анаэробных условиях прорастают в вегетативные формы, продуцирующие экзотоксин (тетаноспазмин) и гемоли-зин.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Эпидемиология: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обычных бытовых условиях входные ворота инфекции - мелкие бытовые травмы (проколы, ссадины), в условиях военного времени - раны. Больные опасности не представляют.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Клиника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84582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</w:t>
      </w:r>
      <w:r w:rsidRPr="00326A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нкубационный период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среднем 1-2 недели (от 1 до 21 суток), чем он короче, тем тяжелее протекает заболевание. 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</w:p>
    <w:p w:rsidR="00165309" w:rsidRPr="00326A04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Начинается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остро. Первый симптом - </w:t>
      </w:r>
      <w:r w:rsidRPr="00326A0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тоническое напряжение (тризм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r w:rsidRPr="00326A0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жевательных мышц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 затруднением открывания рта (в начале болезни его можно выявить путем поколачивания по шпателю, опирающемуся на зубы нижней челюсти, что провоцирует сокращение жевательной мышцы). Затем появляются другие признаки столбняка: </w:t>
      </w:r>
      <w:r w:rsidRPr="00326A0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«сардоническая улыбка»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вследствие спазма мимической мускулатуры и </w:t>
      </w:r>
      <w:r w:rsidRPr="00326A0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дисфагия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результате сокращения мышц глотки.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Поражение мускулатуры идет по нисходящему типу. Т.к. скелетные мышцы-разгибатели физиологически сильнее мышц-сгибателей, преобладают экстензорные проявления: ригидность затылочных мышц, запро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кидывание головы назад, перераз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гибание позвоночника (опистотонус), выпрямление конечностей. Тоническое напряжение захватывает межреберные мышцы и диафрагму, что приводит к уменьшению минутного объема дыхания и гипоксии.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A0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Особенности поражения мышечной системы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постоянный (без расслабления) гипертонус мышц, вовлечение в процесс только крупных мышц конечностей, выраженные мышечные боли.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326A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разгаре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26A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болезни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этом фоне под влиянием любых тактильных, слуховых и зрительных раздражителей (даже незначительных по силе) возникают общие тетанические судороги продолжительностью от нескольких секунд до мин. Судороги сопровождаются гипертермией, потливостью, гиперсаливацией, тахикардией и углублением гипоксии. Отмечаются затруднения 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мочеиспускания и дефек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ации вследствие спазма мышц про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межности. Сознание остается ясным в течение всего заболевания.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A0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 степени распространенности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выделяют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1)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генерализованный столбняк с описанными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выше клиническими проявлениями;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2) 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местный столбняк в двух клинических формах: 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а) 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локальное поражение в области раны (местный гип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ертонус и локальные судороги); </w:t>
      </w:r>
    </w:p>
    <w:p w:rsidR="00165309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б) 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бульбарный столбняк с поражением центров продолговатого мозга с избирательным поражением мы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шц лица, шеи, глотки и гортани, 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сосудодвигательного и дыхательного центров.</w:t>
      </w:r>
    </w:p>
    <w:p w:rsidR="00165309" w:rsidRPr="00326A04" w:rsidRDefault="00165309" w:rsidP="001653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Местный столбняк встречается редко и, как правило, без лечения переходит в генерализованную форму.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По степени тяжести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различают: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а) легкую форму - встречается нечасто и в основном у лиц, имеющих частичный иммуни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тет. Классическая триада симпто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мов выражена слабо. Приступы судорог либо отсутствуют вовсе, либо возникают с частотой нескольких раз в течение суток. Лихорадка на субфебрильном уровне, тахикардия выявляется редко. Длительность болезни – до 2 нед.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б) среднетяжелую форму - характеризуется развитием поражения мышц с типичной си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мптоматикой, тахикардией и подъ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емом температуры тела до высоких цифр. Частота судорог не превышает 1-2 раза в час, а их длительность не более 15-30 с. Осложнения не возникают, а продолжительность острого периода болезни – до 3 нед.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в) тяжелая форма - регистрируется, когда симптоматика заболевания резко выражена, лихорадка постоянная и высокая, приступы судорог частые (через каждые 5-30 мин) и продолжительные (до 1-3 мин) с выраженной гипоксией, поражением сосудодвигательного центра (тахиаритмии, неустойчивое артериальное давление), прис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оединением пневмонии. Период тя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желого состояния продолжается не менее 3 нед.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Летальный исход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наступить на высоте судорог от асфиксии вследствие спазма 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ышц гортани в сочетании с умень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шением легочной вентиляции из-за напряжения межреберных мышц и диафрагмы. Чаше всего причиной смерти является непосредственное поражение ствола мозга с остановкой дыхания или сердечной деятельности.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При благоприятном течении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столбняка приступы судорог становятся все более редкими и к 3-4 нед болезни прекращаются совсем, однако тоническое напряжение мышц сохраняется еще около недели после исчезновения судорог. Регрессия других симптомов болезни происходит постепенно. В периоде 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поздней реконвалесценции имеются признаки инфекционно-токсического миокардита (тахикардия, глухость сердечных тонов, умеренное расширени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границ сердца) и астеновегета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тивного синдрома, сохраняющиеся в течение 1-3 мес.</w:t>
      </w:r>
    </w:p>
    <w:p w:rsidR="00165309" w:rsidRDefault="00165309" w:rsidP="00165309">
      <w:p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отсутствии осложне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ний наступает полное выздоровле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ние.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Осложнения: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26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пневмония из-за гиповентиляции и наружения дренажа бронхов, длительного постельного режима; гнойная инфекция вплоть до сепсиса; переломы тел позвонков, отрыв мышц от мест прикрепления, разрыв мышц передней брюшной стенки и конечностей при сильных мышечных спазмах.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70AC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Диагноз: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основывается только на характерном симптомокомплексе, а также правильной оценке эпидемиологических данных и наличии патологических состояний (ранения, отморожения и т. д.). Лабораторная диагностика столбняка довольно ограничена и сводится к выделению из раны возбудителя, что удается не более чем у 30% больных.</w:t>
      </w:r>
      <w:r w:rsidRPr="00470C37">
        <w:rPr>
          <w:rFonts w:ascii="Times New Roman" w:hAnsi="Times New Roman" w:cs="Times New Roman"/>
          <w:sz w:val="28"/>
          <w:szCs w:val="28"/>
        </w:rPr>
        <w:br/>
      </w:r>
    </w:p>
    <w:p w:rsidR="00165309" w:rsidRDefault="00165309" w:rsidP="001653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8741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Дифференцировать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столбняк приходится от 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отравления стрихнином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которое также проявляется судорогами, напоминающими столбнячные. В отличие от столбняка, в промежутках между судорогами мышечная ригидность полностью отсутствует. При отравлении стрихнином сильно расширяются зрачки, а при столбняке зрачки бывают нормальных размеров. Головной столбняк с выраженными судорогами глоточных мышц и другими бульбарными явлениями приходится дифференцировать от бешенства. Помимо анамнестических данных (укус), в затруднительных для диагностики случаях надо учитывать, что при столбняке отсутствует аэрофобия, столь характерная для бешенства, а также то, что при последнем имеют место резкое общее возбуждение, временное затемнение сознания, саливация. Если столбнячные больные, как правило, неподвижны, то при бешенстве возникает выраженное психомоторное возбуждение.</w:t>
      </w:r>
      <w:r w:rsidRPr="00470C37">
        <w:rPr>
          <w:rFonts w:ascii="Times New Roman" w:hAnsi="Times New Roman" w:cs="Times New Roman"/>
          <w:sz w:val="28"/>
          <w:szCs w:val="28"/>
        </w:rPr>
        <w:br/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>Дифференцируют столбняк также от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истерии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клиническая картина которой с явлениями судорожного припадка достаточно типична: приступы судорог, даже с выраженным опистотонусом, наступают внезапно на фоне нормального мышечного тонуса и сопровождаются эмоциональными реакциями (плач, рыдания, хохот), дрожанием век и общим двигательным возбуждением (моторный разряд). Во время клонических судорог больные производят целенаправленные движения: рвут одежду, бьются головой о твердые предметы, выкрикивают бранные слова, кусают пальцы и губы. Падение во время приступа истерии почти никогда не сопровождается сколько-нибудь 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серьезными травмами. После приступа у больных помрачается сознание, они переживают разнообразные эмоции, выражающиеся в так называемых страстных позах. Потом наступает спокойное бредовое состояние с галлюцинациями, а затем сон или состояние безучастности. С окончанием приступа больные возвращаются к нормальному состоянию.</w:t>
      </w:r>
      <w:r w:rsidRPr="00470C37">
        <w:rPr>
          <w:rFonts w:ascii="Times New Roman" w:hAnsi="Times New Roman" w:cs="Times New Roman"/>
          <w:sz w:val="28"/>
          <w:szCs w:val="28"/>
        </w:rPr>
        <w:br/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Дифференциальную диагностику столбняка проводят также с 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нейромиозитами 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радикулитом, перитонзиллитом и заглоточным абсцессом, эпилепсией, менингитами и энцефалитами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различной этиологии. При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нейромиозитах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радикулите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процесс вовлекаются отдельные группы мышц и отсутствуют тризм и общее повышение мышечного тонуса, нет сардонической улыбки и других признаков столбняка. 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Перитонзиллит и заглоточный абсцесс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протекают с выраженными болями в горле и односторонней припухлостью шеи, затруднением глотания и высокой температурой тела. При этом возможны тризм и ригидность затылочных мышц, но не бывает сардонической улыбки, а в процесс не вовлекаются другие мышечные группы. </w:t>
      </w:r>
      <w:r w:rsidRPr="0088741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Эпилептический приступ</w:t>
      </w:r>
      <w:r w:rsidRPr="00470C3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характеризуется не только наличием клонических судорог с тризмом и прикусом языка, но также потерей сознания с последующей прострацией и сном, ретроградной амнезией, непроизвольным мочеиспусканием и полным расслаблением мускулатуры. Нужно помнить, что при столбняке судороги никогда не распространяются на кисти и пальцы рук, а сознание всегда остается ясным.</w:t>
      </w:r>
    </w:p>
    <w:p w:rsidR="00165309" w:rsidRPr="00F24173" w:rsidRDefault="00165309" w:rsidP="00165309">
      <w:pPr>
        <w:pStyle w:val="2"/>
        <w:shd w:val="clear" w:color="auto" w:fill="FFFFFF"/>
        <w:spacing w:before="199" w:after="199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F24173">
        <w:rPr>
          <w:rFonts w:ascii="Times New Roman" w:hAnsi="Times New Roman" w:cs="Times New Roman"/>
          <w:color w:val="auto"/>
          <w:sz w:val="28"/>
          <w:szCs w:val="28"/>
        </w:rPr>
        <w:t>Показания к госпитализации</w:t>
      </w:r>
      <w:r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165309" w:rsidRPr="00F24173" w:rsidRDefault="00165309" w:rsidP="00165309">
      <w:pPr>
        <w:pStyle w:val="a4"/>
        <w:shd w:val="clear" w:color="auto" w:fill="FFFFFF"/>
        <w:spacing w:before="0" w:beforeAutospacing="0" w:after="0" w:afterAutospacing="0" w:line="253" w:lineRule="atLeast"/>
        <w:jc w:val="both"/>
        <w:textAlignment w:val="baseline"/>
        <w:rPr>
          <w:sz w:val="28"/>
          <w:szCs w:val="28"/>
        </w:rPr>
      </w:pPr>
      <w:r w:rsidRPr="00F24173">
        <w:rPr>
          <w:sz w:val="28"/>
          <w:szCs w:val="28"/>
        </w:rPr>
        <w:t>При подозрении на столбняк больные подлежат экстренной госпитализации в отделение реанимации в связи с возможным нарушением жизненно важных функций, необходимостью интенсивной терапии и ухода.</w:t>
      </w:r>
    </w:p>
    <w:p w:rsidR="00165309" w:rsidRPr="00887415" w:rsidRDefault="00165309" w:rsidP="00165309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309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A368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Лечение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.</w:t>
      </w:r>
      <w:r w:rsidRPr="00E044AA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Pr="00E044AA">
        <w:rPr>
          <w:rFonts w:ascii="Times New Roman" w:hAnsi="Times New Roman" w:cs="Times New Roman"/>
          <w:sz w:val="28"/>
          <w:szCs w:val="28"/>
          <w:shd w:val="clear" w:color="auto" w:fill="FFFFFF"/>
        </w:rPr>
        <w:t>Без оказания медицинской помощи больной чаще всего погибает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A368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Терапия должна быть комплексной (этиотропная, патогенетическая, симптоматическая) и включать следующие мероприятия: борьбу с возбудителем в первичном очаге инфекции; нейтрализацию токсина, циркулирующего в крови; противосудорожное лечение; поддержание основных жизненно важных функций организма (сердечно-сосудистая деятельность, дыхание и др.); борьбу с гипертермией, ацидозом и обезвоживанием; профилактику и лечение осложнений; правильный режим, полноценное питание, хороший уход.</w:t>
      </w: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Охранительный режим: пациентов размешают в отдельных палатах с максимальной изоляцией от внешних раздражителей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которые провоцируют присьтупы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при применении миорелаксантов необходимо использование 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противопролежневых матрацев и проведение регулярного массажа грудной клетки для уменьшения вероятности развития пневмоний.</w:t>
      </w: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Диета высококалорийная (№11 или зондовая с добавлением энпитов) для компенсации больших энерготрат при судорогах. Иногда необходимо неполное или полное парентеральное питание.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5309" w:rsidRPr="00EF0917" w:rsidRDefault="00165309" w:rsidP="0016530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больной находится на консервативном лечении и может глотать, то назначают бульоны, компоты, молоко, сметану, кефир, сырые яйца, кисели, чай. Обычно это делают с учетом желания больных. Прием пищи осуществляется с помощью поильников с резиновыми наконечниками.</w:t>
      </w:r>
      <w:r w:rsidRPr="00EF0917">
        <w:rPr>
          <w:rFonts w:ascii="Times New Roman" w:hAnsi="Times New Roman" w:cs="Times New Roman"/>
          <w:sz w:val="28"/>
          <w:szCs w:val="28"/>
        </w:rPr>
        <w:br/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При сильном тризме и гидрофобии приходится прибегать к осторожному введению через нос в желудок тонкого зонда и через него вводить указанную выше пищу. Обязательно также введение через зонд фруктовых соков (апельсинового и др.). Иногда пищу приходится вводить посредством дуоденального зонда через нос на фоне медикаментозного сна.</w:t>
      </w: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5309" w:rsidRPr="00EF0917" w:rsidRDefault="00165309" w:rsidP="00165309">
      <w:pPr>
        <w:spacing w:after="0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3.Для 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борьбы с возбудителем в первичном очаге инфекции</w:t>
      </w:r>
      <w:r w:rsidRPr="00EF09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необходимы тщательная ревизия и хирургическая обработка раны с удалением инородных тел и некротизированных тканей, широким вскрытием слепых карманов, обеспечением хорошего оттока раневого отделяемого.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Показана повторная хирургическая обработка или ревизия уже заживших ран с целью удаления инородных тел, некротизированных тканей и предотвращения попадания токсина в кровь.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целью ограничения поступления токсина из раны рекомендуется перед обработкой произвести ее обкалывание противостолбнячной сывороткой в количестве 1-3 тыс. ME. Хирургические манипуляции проводят под наркозом, чтобы болевые ощущения не провоцировали судорожных приступов.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4.Специфическая этиотропная терапия. 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Нейтрализация токсина в организме осуществляется введением антитоксической противостолбнячной лошадиной сыворотки. Фиксированный клетками спинного и продолговатого мозга столбнячный токсин не может быть реадсорбирован, поэтому сыворотку следует вводить как можно раньше.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связывания циркулирующего токсина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ее вводят однократно внутримышечно с предварительной десенсибилизацией в дозах 100-150 тыс. ME взрослым, 20-40 тыс. ME новорожденным и 80-100 тыс. ME детям более старшего возраста.</w:t>
      </w:r>
      <w:r w:rsidRPr="00EF0917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EF0917">
        <w:rPr>
          <w:rFonts w:ascii="Times New Roman" w:hAnsi="Times New Roman" w:cs="Times New Roman"/>
          <w:sz w:val="28"/>
          <w:szCs w:val="28"/>
        </w:rPr>
        <w:br/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Указанные дозы обеспечивают высокий антитоксический титр в крови больного в течение 3 недель и более, поэтому необходимости в повторном введении сыворотки нет. Учитывая возможность развития анафилактического 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шока после введения, должно быть обеспечено медицинское наблюдение за больным на протяжении не менее 1 ч. В последние годы лучшим антитоксическим средством считается противостолбнячный человеческий иммуноглобулин. Лечебная доза препарата составляет 900 ME (6 мл) и вводится однократно внутримышечно.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F091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5. Для борьбы с судорогами применяют седативно-наркотические, нейроплегические средства и миорелаксанты.</w:t>
      </w: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При легкой и среднетяжелой формах столбняка противосудорожную терапию начинают с введения хлоралгидрата в клизмах (по 1,5-2 г на клизму) 3-4 раза в течение суток, дополняя лечение нейроплегической смесью, включающей 2 мл 2,5%-ного раствора аминазина, 1 мл 2%-ного раствора промедола, 2-3 мл 1%-ного раствора димедрола и 0,5 мл 0,05%-ного раствора скополамина гидробромида. Хлоралгидрат и литическая смесь должны чередоваться каждые 3-3,5 ч в течение суток по схеме: хлоралгидрат - литическая смесь - хлоралгидрат и т. д. Достаточно эффективно многократное введение диазепама (седуксена). Лечение диазепамом дополняют введением барбитуратов.</w:t>
      </w:r>
      <w:r w:rsidRPr="00EF0917">
        <w:rPr>
          <w:rFonts w:ascii="Times New Roman" w:hAnsi="Times New Roman" w:cs="Times New Roman"/>
          <w:sz w:val="28"/>
          <w:szCs w:val="28"/>
        </w:rPr>
        <w:br/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При тяжелой форме столбняка (III степень) частые сильные судороги с расстройством дыхания можно устранить только введением предельно больших доз нейроплегиков в сочетании с внутримышечной инъекцией барбитуратов. В некоторых случаях применяют нейролептанальгезию. С этой целью используют сочетание дроперидола и фентанила. Оптимальную схему противосудорожных препаратов подбирают индивидуально.</w:t>
      </w:r>
      <w:r w:rsidRPr="00EF0917">
        <w:rPr>
          <w:rFonts w:ascii="Times New Roman" w:hAnsi="Times New Roman" w:cs="Times New Roman"/>
          <w:sz w:val="28"/>
          <w:szCs w:val="28"/>
        </w:rPr>
        <w:br/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При очень тяжелой форме (IV степень) и упорных судорогах единственным эффективным средством являются миорелаксанты, предпочтительно антидеполяризующего типа действия (тубокурарин). Действие релаксантов дополняют введением диазепама, барбитуратов или оксибутирата натрия. Переход на режим длительной миорелаксации (от 1 до 2-3 недель) всегда предполагает проведение искусственной вентиляции легких.</w:t>
      </w:r>
      <w:r w:rsidRPr="00EF0917">
        <w:rPr>
          <w:rFonts w:ascii="Times New Roman" w:hAnsi="Times New Roman" w:cs="Times New Roman"/>
          <w:sz w:val="28"/>
          <w:szCs w:val="28"/>
        </w:rPr>
        <w:br/>
      </w: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6.Для лечения проявлений гиперадренореактивности (тахикардия, артериальная гипертензия) применяют бета-блокаторы (анаприлин, индерал, обзидан), альфа-блокаторы (тропафен, фентоламин) и перидуральную блокаду. </w:t>
      </w: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7.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Антибиотики - назначаются больным тяжелыми формами для профилактики и лечения пневмоний и сепсиса (полусинтетические пенициллины - ампиокс 4 г/сут, карбенициллин 4 г/сут, цефалоспорины II и III поколений - цефотаксим-клафоран, цефтриаксон-лонгацеф в дозе 2-4 г/сут, цефуроксим 3 г/сут, </w:t>
      </w:r>
      <w:r w:rsidRPr="00EF091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фторхинолы - ципрофлоксацин 0,4 г/сут)</w:t>
      </w:r>
      <w:r w:rsidRPr="00EF0917">
        <w:rPr>
          <w:rFonts w:ascii="Times New Roman" w:hAnsi="Times New Roman" w:cs="Times New Roman"/>
          <w:sz w:val="28"/>
          <w:szCs w:val="28"/>
        </w:rPr>
        <w:br/>
      </w: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8.Устранение ацидоза и нарушений водно-солевого и белкового баланса осуществляют введением ощелачивающих растворов, полиионных растворов, плазмы крови, альбумина и других препаратов. </w:t>
      </w:r>
    </w:p>
    <w:p w:rsidR="00165309" w:rsidRPr="00EF0917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65309" w:rsidRDefault="00165309" w:rsidP="00165309">
      <w:pPr>
        <w:spacing w:after="0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9.Огромную роль в лечении столбняка играют тщательный уход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EF091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 индивидуальный пост и постоянное наблюдение врача.</w:t>
      </w:r>
      <w:r w:rsidRPr="00326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65309" w:rsidRPr="005F0A62" w:rsidRDefault="00165309" w:rsidP="00165309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F0A62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Профилактика.</w:t>
      </w:r>
      <w:r w:rsidRPr="005F0A62">
        <w:rPr>
          <w:rFonts w:ascii="Times New Roman" w:hAnsi="Times New Roman" w:cs="Times New Roman"/>
          <w:sz w:val="28"/>
          <w:szCs w:val="28"/>
        </w:rPr>
        <w:br/>
      </w:r>
      <w:r w:rsidRPr="005F0A62">
        <w:rPr>
          <w:rFonts w:ascii="Times New Roman" w:hAnsi="Times New Roman" w:cs="Times New Roman"/>
          <w:sz w:val="28"/>
          <w:szCs w:val="28"/>
          <w:shd w:val="clear" w:color="auto" w:fill="FFFFFF"/>
        </w:rPr>
        <w:t>Осуществляется в двух направлениях: профилактика травм и специфическая профилактика.</w:t>
      </w:r>
      <w:r w:rsidRPr="005F0A62">
        <w:rPr>
          <w:rFonts w:ascii="Times New Roman" w:hAnsi="Times New Roman" w:cs="Times New Roman"/>
          <w:sz w:val="28"/>
          <w:szCs w:val="28"/>
        </w:rPr>
        <w:br/>
      </w:r>
      <w:r w:rsidRPr="005F0A62">
        <w:rPr>
          <w:rFonts w:ascii="Times New Roman" w:hAnsi="Times New Roman" w:cs="Times New Roman"/>
          <w:sz w:val="28"/>
          <w:szCs w:val="28"/>
          <w:shd w:val="clear" w:color="auto" w:fill="FFFFFF"/>
        </w:rPr>
        <w:t>Специфическая профилактика проводится в плановом порядке определенным контингентам населения и экстренно - при получении травм. Активная иммунизация осуществляется анатоксином всем детям в возрасте от 5-6 месяцев до 17 лет, а также учащимся средних и высших учебных заведений, строительным рабочим, рабочим оборонной промышленности, спортсменам, землекопам, рабочим-железнодорожникам, а в зонах с повышенной заболеваемостью столбняком обязательны прививки для всего населения.</w:t>
      </w:r>
      <w:r w:rsidRPr="005F0A62">
        <w:rPr>
          <w:rFonts w:ascii="Times New Roman" w:hAnsi="Times New Roman" w:cs="Times New Roman"/>
          <w:sz w:val="28"/>
          <w:szCs w:val="28"/>
        </w:rPr>
        <w:br/>
      </w:r>
      <w:r w:rsidRPr="005F0A62">
        <w:rPr>
          <w:rFonts w:ascii="Times New Roman" w:hAnsi="Times New Roman" w:cs="Times New Roman"/>
          <w:sz w:val="28"/>
          <w:szCs w:val="28"/>
          <w:shd w:val="clear" w:color="auto" w:fill="FFFFFF"/>
        </w:rPr>
        <w:t>Для иммунизации детей используют ассоциированные вакцины АКДС и АДС, создающие иммунитет не только против столбняка, но и против коклюша и дифтерии. Сроки прививок и дозы определены инструкциями. Взрослые люди против столбняка иммунизируются двукратно. Анатоксин вводят подкожно в количестве 0,5 мл с месячным интервалом между инъекциями. Первую ревакцинацию осуществляют через 9-12 месяцев после первичной вакцинации, последующие - через 5-10 лет в той же дозе. Введение анатоксина создает у привитых стойкий иммунитет на долгие годы.</w:t>
      </w:r>
      <w:r w:rsidRPr="005F0A62">
        <w:rPr>
          <w:rFonts w:ascii="Times New Roman" w:hAnsi="Times New Roman" w:cs="Times New Roman"/>
          <w:sz w:val="28"/>
          <w:szCs w:val="28"/>
        </w:rPr>
        <w:br/>
      </w:r>
      <w:r w:rsidRPr="005F0A62">
        <w:rPr>
          <w:rFonts w:ascii="Times New Roman" w:hAnsi="Times New Roman" w:cs="Times New Roman"/>
          <w:sz w:val="28"/>
          <w:szCs w:val="28"/>
          <w:shd w:val="clear" w:color="auto" w:fill="FFFFFF"/>
        </w:rPr>
        <w:t>При угрозе развития столбняка (при ранениях, ожогах II и III степени, отморожениях II и III степени, родах на дому и внебольничных абортах, операциях на желудочно-кишечном тракте и т. д.) осуществляют экстренную его профилактику. С этой целью привитым достаточно ввести 0,5 мл столбнячного анатоксина. Непривитым необходима активно-пассивная иммунизация, при которой инъекцию 1 мл столбнячного анатоксина комбинируют с противостолбнячной сывороткой в дозе 3000 ME независимо от возраста. В дальнейшем вводят только анатоксин по обычной схеме. Можно вводить противостолбнячный донорский иммуноглобулин внутримышечно в дозе до 3 мл. Профилактические мероприятия в отношении столбняка обязательно включают санитарно-просветительную работу среди населения.</w:t>
      </w:r>
      <w:r w:rsidRPr="005F0A62">
        <w:rPr>
          <w:rStyle w:val="apple-converted-space"/>
          <w:rFonts w:ascii="Arial" w:hAnsi="Arial" w:cs="Arial"/>
          <w:sz w:val="20"/>
          <w:szCs w:val="20"/>
          <w:shd w:val="clear" w:color="auto" w:fill="FFFFFF"/>
        </w:rPr>
        <w:t> </w:t>
      </w:r>
    </w:p>
    <w:p w:rsidR="00B70077" w:rsidRDefault="00B70077">
      <w:bookmarkStart w:id="0" w:name="_GoBack"/>
      <w:bookmarkEnd w:id="0"/>
    </w:p>
    <w:sectPr w:rsidR="00B70077" w:rsidSect="00D15F8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309"/>
    <w:rsid w:val="00165309"/>
    <w:rsid w:val="00B70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D6FA7-E7DD-4139-BDC0-115A1FE4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309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653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530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165309"/>
    <w:rPr>
      <w:b/>
      <w:bCs/>
    </w:rPr>
  </w:style>
  <w:style w:type="paragraph" w:styleId="a4">
    <w:name w:val="Normal (Web)"/>
    <w:basedOn w:val="a"/>
    <w:uiPriority w:val="99"/>
    <w:unhideWhenUsed/>
    <w:rsid w:val="00165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2405</Words>
  <Characters>13711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2019-09-04T08:35:00Z</dcterms:created>
  <dcterms:modified xsi:type="dcterms:W3CDTF">2019-09-04T08:35:00Z</dcterms:modified>
</cp:coreProperties>
</file>